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7B92CF30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046DBE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C237FB">
        <w:rPr>
          <w:rFonts w:ascii="Sylfaen" w:hAnsi="Sylfaen" w:cs="Sylfaen"/>
          <w:sz w:val="20"/>
          <w:lang w:val="ka-GE"/>
        </w:rPr>
        <w:t>ხულო</w:t>
      </w:r>
      <w:r w:rsidR="00046DBE">
        <w:rPr>
          <w:rFonts w:ascii="Sylfaen" w:hAnsi="Sylfaen" w:cs="Sylfaen"/>
          <w:sz w:val="20"/>
          <w:lang w:val="ka-GE"/>
        </w:rPr>
        <w:t>ს კლინიკაში 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64069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  <w:r w:rsidR="00185FAE" w:rsidRPr="00640695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06FE769B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20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175836" w:rsidRPr="00640695">
        <w:rPr>
          <w:rFonts w:ascii="Sylfaen" w:hAnsi="Sylfaen" w:cs="Sylfaen"/>
          <w:sz w:val="20"/>
          <w:lang w:val="ka-GE"/>
        </w:rPr>
        <w:t>1</w:t>
      </w:r>
      <w:r w:rsidR="00056F1D">
        <w:rPr>
          <w:rFonts w:ascii="Sylfaen" w:hAnsi="Sylfaen" w:cs="Sylfaen"/>
          <w:sz w:val="20"/>
          <w:lang w:val="ka-GE"/>
        </w:rPr>
        <w:t xml:space="preserve">2 </w:t>
      </w:r>
      <w:r w:rsidR="00175836" w:rsidRPr="00640695">
        <w:rPr>
          <w:rFonts w:ascii="Sylfaen" w:hAnsi="Sylfaen" w:cs="Sylfaen"/>
          <w:sz w:val="20"/>
          <w:lang w:val="ka-GE"/>
        </w:rPr>
        <w:t>აგვისტოს</w:t>
      </w:r>
      <w:r w:rsidR="0044234E" w:rsidRPr="00640695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52C7CA6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5 </w:t>
            </w:r>
            <w:r>
              <w:rPr>
                <w:rFonts w:ascii="Sylfaen" w:hAnsi="Sylfaen" w:cs="Sylfaen"/>
                <w:sz w:val="20"/>
                <w:lang w:val="ka-GE"/>
              </w:rPr>
              <w:t>აგ</w:t>
            </w:r>
            <w:r w:rsidR="00046DBE">
              <w:rPr>
                <w:rFonts w:ascii="Sylfaen" w:hAnsi="Sylfaen" w:cs="Sylfaen"/>
                <w:sz w:val="20"/>
                <w:lang w:val="ka-GE"/>
              </w:rPr>
              <w:t>ვ</w:t>
            </w:r>
            <w:r>
              <w:rPr>
                <w:rFonts w:ascii="Sylfaen" w:hAnsi="Sylfaen" w:cs="Sylfaen"/>
                <w:sz w:val="20"/>
                <w:lang w:val="ka-GE"/>
              </w:rPr>
              <w:t>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2020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7AB0A53" w:rsidR="0044234E" w:rsidRPr="00C63B85" w:rsidRDefault="00175836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2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2020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6D00B0D0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9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702EBEA7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აგვისტო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6972088C" w:rsidR="001F33F7" w:rsidRPr="00640695" w:rsidRDefault="00173EC8" w:rsidP="00640695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C237FB" w:rsidRPr="00C237FB">
        <w:rPr>
          <w:rFonts w:ascii="Sylfaen" w:hAnsi="Sylfaen" w:cs="Sylfaen"/>
          <w:sz w:val="20"/>
          <w:lang w:val="ka-GE"/>
        </w:rPr>
        <w:t xml:space="preserve"> ხულო</w:t>
      </w:r>
      <w:r w:rsidR="00C237FB">
        <w:rPr>
          <w:rFonts w:ascii="Sylfaen" w:hAnsi="Sylfaen" w:cs="Sylfaen"/>
          <w:sz w:val="20"/>
          <w:lang w:val="ka-GE"/>
        </w:rPr>
        <w:t>ში</w:t>
      </w:r>
      <w:r w:rsidR="00C237FB" w:rsidRPr="00C237FB">
        <w:rPr>
          <w:rFonts w:ascii="Sylfaen" w:hAnsi="Sylfaen" w:cs="Sylfaen"/>
          <w:sz w:val="20"/>
          <w:lang w:val="ka-GE"/>
        </w:rPr>
        <w:t>, დაბა ხულო, აღმაშენებლის ქ. №1</w:t>
      </w:r>
      <w:r w:rsidR="00C237FB">
        <w:rPr>
          <w:rFonts w:ascii="Sylfaen" w:hAnsi="Sylfaen" w:cs="Sylfaen"/>
          <w:sz w:val="20"/>
          <w:lang w:val="ka-GE"/>
        </w:rPr>
        <w:t>-ში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C237FB">
        <w:rPr>
          <w:rFonts w:ascii="Sylfaen" w:hAnsi="Sylfaen" w:cs="Sylfaen"/>
          <w:sz w:val="20"/>
          <w:lang w:val="ka-GE"/>
        </w:rPr>
        <w:t>(</w:t>
      </w:r>
      <w:r w:rsidR="00C237FB" w:rsidRPr="00C237FB">
        <w:rPr>
          <w:rFonts w:ascii="Sylfaen" w:hAnsi="Sylfaen" w:cs="Sylfaen"/>
          <w:sz w:val="20"/>
          <w:lang w:val="ka-GE"/>
        </w:rPr>
        <w:t>რაიონი ხულო , დაბა ხულო , დ. აღმაშენებლის ქ. , N 3-ის მიმდებარე ტერიტორია</w:t>
      </w:r>
      <w:r w:rsidR="00C237FB">
        <w:rPr>
          <w:rFonts w:ascii="Sylfaen" w:hAnsi="Sylfaen" w:cs="Sylfaen"/>
          <w:sz w:val="20"/>
          <w:lang w:val="ka-GE"/>
        </w:rPr>
        <w:t>)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3372DA" w:rsidRPr="00640695">
        <w:rPr>
          <w:rFonts w:ascii="Sylfaen" w:hAnsi="Sylfaen" w:cs="Sylfaen"/>
          <w:sz w:val="20"/>
          <w:lang w:val="ka-GE"/>
        </w:rPr>
        <w:t>მდებარე</w:t>
      </w:r>
      <w:r w:rsidR="007B2D69" w:rsidRPr="00640695">
        <w:rPr>
          <w:rFonts w:ascii="Sylfaen" w:hAnsi="Sylfaen" w:cs="Sylfaen"/>
          <w:sz w:val="20"/>
          <w:lang w:val="ka-GE"/>
        </w:rPr>
        <w:t xml:space="preserve">  </w:t>
      </w:r>
      <w:r w:rsidR="00C237FB">
        <w:rPr>
          <w:rFonts w:ascii="Sylfaen" w:hAnsi="Sylfaen" w:cs="Sylfaen"/>
          <w:sz w:val="20"/>
          <w:lang w:val="ka-GE"/>
        </w:rPr>
        <w:t>ხულო</w:t>
      </w:r>
      <w:r w:rsidR="00046DBE" w:rsidRPr="00640695">
        <w:rPr>
          <w:rFonts w:ascii="Sylfaen" w:hAnsi="Sylfaen" w:cs="Sylfaen"/>
          <w:sz w:val="20"/>
          <w:lang w:val="ka-GE"/>
        </w:rPr>
        <w:t>ს</w:t>
      </w:r>
      <w:r w:rsidR="00175836" w:rsidRPr="00640695">
        <w:rPr>
          <w:rFonts w:ascii="Sylfaen" w:hAnsi="Sylfaen" w:cs="Sylfaen"/>
          <w:sz w:val="20"/>
          <w:lang w:val="ka-GE"/>
        </w:rPr>
        <w:t xml:space="preserve"> კლინიკის </w:t>
      </w:r>
      <w:r w:rsidR="00C50A00" w:rsidRPr="00640695">
        <w:rPr>
          <w:rFonts w:ascii="Sylfaen" w:hAnsi="Sylfaen" w:cs="Sylfaen"/>
          <w:sz w:val="20"/>
          <w:lang w:val="ka-GE"/>
        </w:rPr>
        <w:t>სარ</w:t>
      </w:r>
      <w:r w:rsidR="00046DBE" w:rsidRPr="00640695">
        <w:rPr>
          <w:rFonts w:ascii="Sylfaen" w:hAnsi="Sylfaen" w:cs="Sylfaen"/>
          <w:sz w:val="20"/>
          <w:lang w:val="ka-GE"/>
        </w:rPr>
        <w:t>ეკონსტრუქციო</w:t>
      </w:r>
      <w:r w:rsidR="0033710F" w:rsidRPr="00640695">
        <w:rPr>
          <w:rFonts w:ascii="Sylfaen" w:hAnsi="Sylfaen" w:cs="Sylfaen"/>
          <w:sz w:val="20"/>
          <w:lang w:val="ka-GE"/>
        </w:rPr>
        <w:t xml:space="preserve"> </w:t>
      </w:r>
      <w:r w:rsidR="003372DA" w:rsidRPr="00640695">
        <w:rPr>
          <w:rFonts w:ascii="Sylfaen" w:hAnsi="Sylfaen" w:cs="Sylfaen"/>
          <w:sz w:val="20"/>
          <w:lang w:val="ka-GE"/>
        </w:rPr>
        <w:t>სამუშაოები</w:t>
      </w:r>
      <w:r w:rsidR="00046DBE" w:rsidRPr="00640695">
        <w:rPr>
          <w:rFonts w:ascii="Sylfaen" w:hAnsi="Sylfaen" w:cs="Sylfaen"/>
          <w:sz w:val="20"/>
          <w:lang w:val="ka-GE"/>
        </w:rPr>
        <w:t>ს შესრულება</w:t>
      </w:r>
      <w:r w:rsidR="00640695" w:rsidRPr="00640695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F35545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F35545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F35545">
        <w:rPr>
          <w:rFonts w:ascii="Sylfaen" w:hAnsi="Sylfaen" w:cs="Sylfaen"/>
          <w:sz w:val="20"/>
          <w:lang w:val="ka-GE"/>
        </w:rPr>
        <w:t>’, მიხედვით</w:t>
      </w:r>
      <w:r w:rsidR="00F35545">
        <w:rPr>
          <w:rFonts w:ascii="Sylfaen" w:hAnsi="Sylfaen" w:cs="Sylfaen"/>
          <w:sz w:val="20"/>
          <w:lang w:val="ka-GE"/>
        </w:rPr>
        <w:t>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3D9C7D20" w:rsidR="00187D40" w:rsidRPr="00254255" w:rsidRDefault="008243FC" w:rsidP="00254255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8290DF4" w14:textId="4715F188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lastRenderedPageBreak/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45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>ორმოცდახუთი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5D6D5364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EF7F43">
        <w:rPr>
          <w:rFonts w:ascii="Sylfaen" w:hAnsi="Sylfaen" w:cs="Sylfaen"/>
          <w:sz w:val="20"/>
          <w:lang w:val="ka-GE"/>
        </w:rPr>
        <w:t>1 სექტემბერი</w:t>
      </w:r>
      <w:r w:rsidR="00254255" w:rsidRPr="00254255">
        <w:rPr>
          <w:rFonts w:ascii="Sylfaen" w:hAnsi="Sylfaen" w:cs="Sylfaen"/>
          <w:sz w:val="20"/>
          <w:lang w:val="ka-GE"/>
        </w:rPr>
        <w:t>, 2020 წელი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61AE8F1A" w:rsidR="006B056D" w:rsidRPr="00DE37A5" w:rsidRDefault="006F1C18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bookmarkStart w:id="2" w:name="_GoBack"/>
      <w:bookmarkEnd w:id="2"/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3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3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50072E6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9F70C4">
        <w:rPr>
          <w:rFonts w:ascii="Sylfaen" w:hAnsi="Sylfaen" w:cs="Sylfaen"/>
          <w:sz w:val="20"/>
          <w:lang w:val="ka-GE"/>
        </w:rPr>
        <w:t>1</w:t>
      </w:r>
      <w:r w:rsidR="00EF7F43">
        <w:rPr>
          <w:rFonts w:ascii="Sylfaen" w:hAnsi="Sylfaen" w:cs="Sylfaen"/>
          <w:sz w:val="20"/>
          <w:lang w:val="ka-GE"/>
        </w:rPr>
        <w:t xml:space="preserve">2 </w:t>
      </w:r>
      <w:r w:rsidR="009F70C4">
        <w:rPr>
          <w:rFonts w:ascii="Sylfaen" w:hAnsi="Sylfaen" w:cs="Sylfaen"/>
          <w:sz w:val="20"/>
          <w:lang w:val="ka-GE"/>
        </w:rPr>
        <w:t>აგვისტოს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016BC22" w:rsidR="00A92E91" w:rsidRDefault="00F13EF7" w:rsidP="00236C2C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C50A00">
        <w:rPr>
          <w:rFonts w:ascii="Sylfaen" w:hAnsi="Sylfaen" w:cstheme="minorHAnsi"/>
          <w:sz w:val="20"/>
          <w:lang w:val="ka-GE"/>
        </w:rPr>
        <w:t>თამარ თაბაგარი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C50A00" w:rsidRPr="006D3391">
          <w:rPr>
            <w:rStyle w:val="Hyperlink"/>
            <w:rFonts w:ascii="Sylfaen" w:hAnsi="Sylfaen" w:cstheme="minorHAnsi"/>
            <w:sz w:val="20"/>
            <w:lang w:val="en-US"/>
          </w:rPr>
          <w:t>tamartabagari</w:t>
        </w:r>
        <w:r w:rsidR="00C50A00" w:rsidRPr="006D3391">
          <w:rPr>
            <w:rStyle w:val="Hyperlink"/>
            <w:rFonts w:asciiTheme="minorHAnsi" w:hAnsiTheme="minorHAnsi" w:cstheme="minorHAnsi"/>
            <w:sz w:val="20"/>
            <w:lang w:val="ka-GE"/>
          </w:rPr>
          <w:t>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C50A00">
        <w:rPr>
          <w:rFonts w:ascii="Sylfaen" w:hAnsi="Sylfaen" w:cs="Sylfaen"/>
          <w:sz w:val="20"/>
          <w:lang w:val="en-US"/>
        </w:rPr>
        <w:t>747934.</w:t>
      </w: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1796" w14:textId="77777777" w:rsidR="0002506E" w:rsidRDefault="0002506E">
      <w:r>
        <w:separator/>
      </w:r>
    </w:p>
  </w:endnote>
  <w:endnote w:type="continuationSeparator" w:id="0">
    <w:p w14:paraId="481DFA71" w14:textId="77777777" w:rsidR="0002506E" w:rsidRDefault="0002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90B29" w14:textId="77777777" w:rsidR="0002506E" w:rsidRDefault="0002506E">
      <w:r>
        <w:separator/>
      </w:r>
    </w:p>
  </w:footnote>
  <w:footnote w:type="continuationSeparator" w:id="0">
    <w:p w14:paraId="48D67819" w14:textId="77777777" w:rsidR="0002506E" w:rsidRDefault="0002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4CCB2E04" w:rsidR="00046DBE" w:rsidRPr="00046DBE" w:rsidRDefault="00046DBE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C237FB">
            <w:rPr>
              <w:rFonts w:ascii="Sylfaen" w:hAnsi="Sylfaen" w:cs="Sylfaen"/>
              <w:b/>
              <w:sz w:val="20"/>
              <w:lang w:val="ka-GE"/>
            </w:rPr>
            <w:t>ხულო</w:t>
          </w:r>
          <w:r w:rsidR="00056F1D">
            <w:rPr>
              <w:rFonts w:ascii="Sylfaen" w:hAnsi="Sylfaen" w:cs="Sylfaen"/>
              <w:b/>
              <w:sz w:val="20"/>
              <w:lang w:val="ka-GE"/>
            </w:rPr>
            <w:t xml:space="preserve">ს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კლინიკაში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506E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542AF"/>
    <w:rsid w:val="004544EC"/>
    <w:rsid w:val="00457679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6F1C18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186"/>
    <w:rsid w:val="00C77577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rtabagar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3524-A9E7-469A-A94F-38477851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41</cp:revision>
  <cp:lastPrinted>2018-06-11T07:22:00Z</cp:lastPrinted>
  <dcterms:created xsi:type="dcterms:W3CDTF">2019-03-07T21:54:00Z</dcterms:created>
  <dcterms:modified xsi:type="dcterms:W3CDTF">2020-08-05T12:24:00Z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